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650"/>
        <w:rPr>
          <w:rFonts w:ascii="Times New Roman"/>
        </w:rPr>
      </w:pPr>
      <w:r>
        <w:rPr/>
        <w:drawing>
          <wp:anchor distT="0" distB="0" distL="0" distR="0" allowOverlap="1" layoutInCell="1" locked="0" behindDoc="1" simplePos="0" relativeHeight="268431599">
            <wp:simplePos x="0" y="0"/>
            <wp:positionH relativeFrom="page">
              <wp:posOffset>0</wp:posOffset>
            </wp:positionH>
            <wp:positionV relativeFrom="page">
              <wp:posOffset>12192</wp:posOffset>
            </wp:positionV>
            <wp:extent cx="7555992" cy="10680191"/>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555992" cy="10680191"/>
                    </a:xfrm>
                    <a:prstGeom prst="rect">
                      <a:avLst/>
                    </a:prstGeom>
                  </pic:spPr>
                </pic:pic>
              </a:graphicData>
            </a:graphic>
          </wp:anchor>
        </w:drawing>
      </w:r>
      <w:r>
        <w:rPr>
          <w:rFonts w:ascii="Times New Roman"/>
        </w:rPr>
        <w:drawing>
          <wp:inline distT="0" distB="0" distL="0" distR="0">
            <wp:extent cx="1620736" cy="1074420"/>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620736" cy="1074420"/>
                    </a:xfrm>
                    <a:prstGeom prst="rect">
                      <a:avLst/>
                    </a:prstGeom>
                  </pic:spPr>
                </pic:pic>
              </a:graphicData>
            </a:graphic>
          </wp:inline>
        </w:drawing>
      </w:r>
      <w:r>
        <w:rPr>
          <w:rFonts w:ascii="Times New Roman"/>
        </w:rPr>
      </w:r>
    </w:p>
    <w:p>
      <w:pPr>
        <w:pStyle w:val="BodyText"/>
        <w:spacing w:before="5"/>
        <w:rPr>
          <w:rFonts w:ascii="Times New Roman"/>
          <w:sz w:val="24"/>
        </w:rPr>
      </w:pPr>
    </w:p>
    <w:p>
      <w:pPr>
        <w:spacing w:before="83"/>
        <w:ind w:left="112" w:right="0" w:firstLine="0"/>
        <w:jc w:val="left"/>
        <w:rPr>
          <w:sz w:val="56"/>
        </w:rPr>
      </w:pPr>
      <w:r>
        <w:rPr>
          <w:color w:val="1A459C"/>
          <w:spacing w:val="-12"/>
          <w:sz w:val="56"/>
        </w:rPr>
        <w:t>WHS </w:t>
      </w:r>
      <w:r>
        <w:rPr>
          <w:color w:val="1A459C"/>
          <w:spacing w:val="-14"/>
          <w:sz w:val="56"/>
        </w:rPr>
        <w:t>Issue </w:t>
      </w:r>
      <w:r>
        <w:rPr>
          <w:color w:val="1A459C"/>
          <w:spacing w:val="-16"/>
          <w:sz w:val="56"/>
        </w:rPr>
        <w:t>Resolution</w:t>
      </w:r>
      <w:r>
        <w:rPr>
          <w:color w:val="1A459C"/>
          <w:spacing w:val="-70"/>
          <w:sz w:val="56"/>
        </w:rPr>
        <w:t> </w:t>
      </w:r>
      <w:r>
        <w:rPr>
          <w:color w:val="1A459C"/>
          <w:spacing w:val="-16"/>
          <w:sz w:val="56"/>
        </w:rPr>
        <w:t>Procedure</w:t>
      </w:r>
    </w:p>
    <w:p>
      <w:pPr>
        <w:pStyle w:val="Heading1"/>
        <w:spacing w:before="361"/>
      </w:pPr>
      <w:bookmarkStart w:name="About this document" w:id="1"/>
      <w:bookmarkEnd w:id="1"/>
      <w:r>
        <w:rPr/>
      </w:r>
      <w:r>
        <w:rPr>
          <w:color w:val="0069B4"/>
        </w:rPr>
        <w:t>About this document</w:t>
      </w:r>
    </w:p>
    <w:p>
      <w:pPr>
        <w:pStyle w:val="Heading3"/>
        <w:spacing w:before="237"/>
      </w:pPr>
      <w:bookmarkStart w:name="Document purpose" w:id="2"/>
      <w:bookmarkEnd w:id="2"/>
      <w:r>
        <w:rPr>
          <w:b w:val="0"/>
        </w:rPr>
      </w:r>
      <w:r>
        <w:rPr>
          <w:color w:val="EB008B"/>
        </w:rPr>
        <w:t>Document purpose</w:t>
      </w:r>
    </w:p>
    <w:p>
      <w:pPr>
        <w:pStyle w:val="BodyText"/>
        <w:spacing w:before="203"/>
        <w:ind w:left="112"/>
      </w:pPr>
      <w:r>
        <w:rPr/>
        <w:t>To provide clear and concise guidelines for the resolution of work health and safety (WHS) issues.</w:t>
      </w:r>
    </w:p>
    <w:p>
      <w:pPr>
        <w:pStyle w:val="BodyText"/>
        <w:spacing w:before="1"/>
        <w:rPr>
          <w:sz w:val="23"/>
        </w:rPr>
      </w:pPr>
    </w:p>
    <w:p>
      <w:pPr>
        <w:pStyle w:val="Heading3"/>
      </w:pPr>
      <w:bookmarkStart w:name="Document authority" w:id="3"/>
      <w:bookmarkEnd w:id="3"/>
      <w:r>
        <w:rPr>
          <w:b w:val="0"/>
        </w:rPr>
      </w:r>
      <w:r>
        <w:rPr>
          <w:color w:val="EB008B"/>
        </w:rPr>
        <w:t>Document authority</w:t>
      </w:r>
    </w:p>
    <w:p>
      <w:pPr>
        <w:pStyle w:val="BodyText"/>
        <w:spacing w:line="309" w:lineRule="auto" w:before="208"/>
        <w:ind w:left="112" w:right="177"/>
      </w:pPr>
      <w:r>
        <w:rPr/>
        <w:t>This WHS issue resolution procedure has been authorised by the manager and is available to all staff. It has been developed in line with all relevant legislation, in consultation and agreement with the WHS committee and the WHS officer.</w:t>
      </w:r>
    </w:p>
    <w:p>
      <w:pPr>
        <w:pStyle w:val="BodyText"/>
        <w:spacing w:before="5"/>
        <w:rPr>
          <w:sz w:val="17"/>
        </w:rPr>
      </w:pPr>
    </w:p>
    <w:p>
      <w:pPr>
        <w:pStyle w:val="Heading3"/>
      </w:pPr>
      <w:bookmarkStart w:name="Document application" w:id="4"/>
      <w:bookmarkEnd w:id="4"/>
      <w:r>
        <w:rPr>
          <w:b w:val="0"/>
        </w:rPr>
      </w:r>
      <w:r>
        <w:rPr>
          <w:color w:val="EB008B"/>
        </w:rPr>
        <w:t>Document application</w:t>
      </w:r>
    </w:p>
    <w:p>
      <w:pPr>
        <w:pStyle w:val="BodyText"/>
        <w:spacing w:before="203"/>
        <w:ind w:left="112"/>
      </w:pPr>
      <w:r>
        <w:rPr/>
        <w:t>All employees are advised to apply this procedure to resolve specific WHS issues.</w:t>
      </w:r>
    </w:p>
    <w:p>
      <w:pPr>
        <w:pStyle w:val="BodyText"/>
        <w:spacing w:before="1"/>
        <w:rPr>
          <w:sz w:val="23"/>
        </w:rPr>
      </w:pPr>
    </w:p>
    <w:p>
      <w:pPr>
        <w:pStyle w:val="Heading3"/>
      </w:pPr>
      <w:bookmarkStart w:name="Expected update frequency" w:id="5"/>
      <w:bookmarkEnd w:id="5"/>
      <w:r>
        <w:rPr>
          <w:b w:val="0"/>
        </w:rPr>
      </w:r>
      <w:r>
        <w:rPr>
          <w:color w:val="EB008B"/>
        </w:rPr>
        <w:t>Expected update frequency</w:t>
      </w:r>
    </w:p>
    <w:p>
      <w:pPr>
        <w:pStyle w:val="BodyText"/>
        <w:spacing w:before="203"/>
        <w:ind w:left="112"/>
      </w:pPr>
      <w:r>
        <w:rPr/>
        <w:t>Yearly</w:t>
      </w:r>
    </w:p>
    <w:p>
      <w:pPr>
        <w:pStyle w:val="BodyText"/>
        <w:spacing w:before="1"/>
        <w:rPr>
          <w:sz w:val="23"/>
        </w:rPr>
      </w:pPr>
    </w:p>
    <w:p>
      <w:pPr>
        <w:pStyle w:val="Heading3"/>
      </w:pPr>
      <w:bookmarkStart w:name="Document location" w:id="6"/>
      <w:bookmarkEnd w:id="6"/>
      <w:r>
        <w:rPr>
          <w:b w:val="0"/>
        </w:rPr>
      </w:r>
      <w:r>
        <w:rPr>
          <w:color w:val="EB008B"/>
        </w:rPr>
        <w:t>Document location</w:t>
      </w:r>
    </w:p>
    <w:p>
      <w:pPr>
        <w:pStyle w:val="BodyText"/>
        <w:spacing w:before="203"/>
        <w:ind w:left="112"/>
      </w:pPr>
      <w:hyperlink r:id="rId7">
        <w:r>
          <w:rPr>
            <w:color w:val="0069B4"/>
            <w:u w:val="single" w:color="0069B4"/>
          </w:rPr>
          <w:t>https://sites.google.com/classroom.nctafe.edu.au/datatrust/intranet</w:t>
        </w:r>
      </w:hyperlink>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7"/>
        </w:rPr>
      </w:pPr>
    </w:p>
    <w:p>
      <w:pPr>
        <w:tabs>
          <w:tab w:pos="9506" w:val="left" w:leader="none"/>
        </w:tabs>
        <w:spacing w:before="93"/>
        <w:ind w:left="885" w:right="0" w:firstLine="0"/>
        <w:jc w:val="left"/>
        <w:rPr>
          <w:b/>
          <w:sz w:val="16"/>
        </w:rPr>
      </w:pPr>
      <w:r>
        <w:rPr>
          <w:color w:val="808898"/>
          <w:spacing w:val="3"/>
          <w:sz w:val="16"/>
        </w:rPr>
        <w:t>DataTrust: </w:t>
      </w:r>
      <w:r>
        <w:rPr>
          <w:color w:val="808898"/>
          <w:spacing w:val="6"/>
          <w:sz w:val="16"/>
        </w:rPr>
        <w:t>WHS </w:t>
      </w:r>
      <w:r>
        <w:rPr>
          <w:color w:val="808898"/>
          <w:spacing w:val="5"/>
          <w:sz w:val="16"/>
        </w:rPr>
        <w:t>Issue</w:t>
      </w:r>
      <w:r>
        <w:rPr>
          <w:color w:val="808898"/>
          <w:spacing w:val="15"/>
          <w:sz w:val="16"/>
        </w:rPr>
        <w:t> </w:t>
      </w:r>
      <w:r>
        <w:rPr>
          <w:color w:val="808898"/>
          <w:spacing w:val="3"/>
          <w:sz w:val="16"/>
        </w:rPr>
        <w:t>Resolution</w:t>
      </w:r>
      <w:r>
        <w:rPr>
          <w:color w:val="808898"/>
          <w:spacing w:val="17"/>
          <w:sz w:val="16"/>
        </w:rPr>
        <w:t> </w:t>
      </w:r>
      <w:r>
        <w:rPr>
          <w:color w:val="808898"/>
          <w:spacing w:val="5"/>
          <w:sz w:val="16"/>
        </w:rPr>
        <w:t>Procedure</w:t>
        <w:tab/>
      </w:r>
      <w:r>
        <w:rPr>
          <w:color w:val="00BAF1"/>
          <w:sz w:val="16"/>
        </w:rPr>
        <w:t>//</w:t>
      </w:r>
      <w:r>
        <w:rPr>
          <w:color w:val="00BAF1"/>
          <w:spacing w:val="11"/>
          <w:sz w:val="16"/>
        </w:rPr>
        <w:t> </w:t>
      </w:r>
      <w:r>
        <w:rPr>
          <w:b/>
          <w:color w:val="00BAF1"/>
          <w:sz w:val="16"/>
        </w:rPr>
        <w:t>1</w:t>
      </w:r>
    </w:p>
    <w:p>
      <w:pPr>
        <w:spacing w:before="3"/>
        <w:ind w:left="885" w:right="0" w:firstLine="0"/>
        <w:jc w:val="left"/>
        <w:rPr>
          <w:sz w:val="16"/>
        </w:rPr>
      </w:pPr>
      <w:r>
        <w:rPr>
          <w:color w:val="808898"/>
          <w:sz w:val="16"/>
        </w:rPr>
        <w:t>Created: 3/04/2009 | Updated: 6/04/2018</w:t>
      </w:r>
    </w:p>
    <w:p>
      <w:pPr>
        <w:spacing w:after="0"/>
        <w:jc w:val="left"/>
        <w:rPr>
          <w:sz w:val="16"/>
        </w:rPr>
        <w:sectPr>
          <w:type w:val="continuous"/>
          <w:pgSz w:w="11910" w:h="16840"/>
          <w:pgMar w:top="1000" w:bottom="280" w:left="1020" w:right="1020"/>
        </w:sectPr>
      </w:pPr>
    </w:p>
    <w:p>
      <w:pPr>
        <w:pStyle w:val="Heading1"/>
      </w:pPr>
      <w:r>
        <w:rPr/>
        <w:drawing>
          <wp:anchor distT="0" distB="0" distL="0" distR="0" allowOverlap="1" layoutInCell="1" locked="0" behindDoc="1" simplePos="0" relativeHeight="268431623">
            <wp:simplePos x="0" y="0"/>
            <wp:positionH relativeFrom="page">
              <wp:posOffset>0</wp:posOffset>
            </wp:positionH>
            <wp:positionV relativeFrom="page">
              <wp:posOffset>12192</wp:posOffset>
            </wp:positionV>
            <wp:extent cx="7555992" cy="10680191"/>
            <wp:effectExtent l="0" t="0" r="0" b="0"/>
            <wp:wrapNone/>
            <wp:docPr id="5" name="image1.png" descr=""/>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7555992" cy="10680191"/>
                    </a:xfrm>
                    <a:prstGeom prst="rect">
                      <a:avLst/>
                    </a:prstGeom>
                  </pic:spPr>
                </pic:pic>
              </a:graphicData>
            </a:graphic>
          </wp:anchor>
        </w:drawing>
      </w:r>
      <w:bookmarkStart w:name="Issue resolution" w:id="7"/>
      <w:bookmarkEnd w:id="7"/>
      <w:r>
        <w:rPr/>
      </w:r>
      <w:r>
        <w:rPr>
          <w:color w:val="0069B4"/>
        </w:rPr>
        <w:t>Issue resolution</w:t>
      </w:r>
    </w:p>
    <w:p>
      <w:pPr>
        <w:pStyle w:val="BodyText"/>
        <w:spacing w:line="304" w:lineRule="auto" w:before="246"/>
        <w:ind w:left="112" w:right="132"/>
      </w:pPr>
      <w:r>
        <w:rPr/>
        <w:t>An ‘issue’ is any concern about health and safety in the workplace that remains unresolved after consultation with the affected workers and the organisation.</w:t>
      </w:r>
    </w:p>
    <w:p>
      <w:pPr>
        <w:pStyle w:val="BodyText"/>
        <w:spacing w:before="6"/>
        <w:rPr>
          <w:sz w:val="18"/>
        </w:rPr>
      </w:pPr>
    </w:p>
    <w:p>
      <w:pPr>
        <w:pStyle w:val="BodyText"/>
        <w:spacing w:line="304" w:lineRule="auto"/>
        <w:ind w:left="112" w:right="143"/>
      </w:pPr>
      <w:r>
        <w:rPr/>
        <w:t>For example, an issue could include a difference in opinion on whether something is a potential risk to health and safety or whether a particular control measure is adequate.</w:t>
      </w:r>
    </w:p>
    <w:p>
      <w:pPr>
        <w:pStyle w:val="BodyText"/>
        <w:rPr>
          <w:sz w:val="18"/>
        </w:rPr>
      </w:pPr>
    </w:p>
    <w:p>
      <w:pPr>
        <w:pStyle w:val="BodyText"/>
        <w:ind w:left="112"/>
      </w:pPr>
      <w:r>
        <w:rPr/>
        <w:t>The following steps are recommended for resolving a work health and safety issue.</w:t>
      </w:r>
    </w:p>
    <w:p>
      <w:pPr>
        <w:pStyle w:val="BodyText"/>
        <w:rPr>
          <w:sz w:val="22"/>
        </w:rPr>
      </w:pPr>
    </w:p>
    <w:p>
      <w:pPr>
        <w:pStyle w:val="Heading2"/>
        <w:spacing w:before="168"/>
      </w:pPr>
      <w:bookmarkStart w:name="Procedure" w:id="8"/>
      <w:bookmarkEnd w:id="8"/>
      <w:r>
        <w:rPr>
          <w:b w:val="0"/>
        </w:rPr>
      </w:r>
      <w:r>
        <w:rPr>
          <w:color w:val="808898"/>
        </w:rPr>
        <w:t>Procedure</w:t>
      </w:r>
    </w:p>
    <w:p>
      <w:pPr>
        <w:pStyle w:val="ListParagraph"/>
        <w:numPr>
          <w:ilvl w:val="0"/>
          <w:numId w:val="1"/>
        </w:numPr>
        <w:tabs>
          <w:tab w:pos="833" w:val="left" w:leader="none"/>
        </w:tabs>
        <w:spacing w:line="312" w:lineRule="auto" w:before="254" w:after="0"/>
        <w:ind w:left="832" w:right="107" w:hanging="360"/>
        <w:jc w:val="left"/>
        <w:rPr>
          <w:sz w:val="20"/>
        </w:rPr>
      </w:pPr>
      <w:r>
        <w:rPr>
          <w:sz w:val="20"/>
        </w:rPr>
        <w:t>When a health and safety issue arises either as a result </w:t>
      </w:r>
      <w:r>
        <w:rPr>
          <w:spacing w:val="-4"/>
          <w:sz w:val="20"/>
        </w:rPr>
        <w:t>of </w:t>
      </w:r>
      <w:r>
        <w:rPr>
          <w:sz w:val="20"/>
        </w:rPr>
        <w:t>a risk assessment or a workplace assessment, or a </w:t>
      </w:r>
      <w:r>
        <w:rPr>
          <w:spacing w:val="-3"/>
          <w:sz w:val="20"/>
        </w:rPr>
        <w:t>problem </w:t>
      </w:r>
      <w:r>
        <w:rPr>
          <w:sz w:val="20"/>
        </w:rPr>
        <w:t>is identified by an employee of DataTrust, it is the employee’s responsibility to take immediate action to resolve or rectify the problem if qualified or competent to do </w:t>
      </w:r>
      <w:r>
        <w:rPr>
          <w:spacing w:val="-3"/>
          <w:sz w:val="20"/>
        </w:rPr>
        <w:t>so </w:t>
      </w:r>
      <w:r>
        <w:rPr>
          <w:sz w:val="20"/>
        </w:rPr>
        <w:t>including ceasing the task if an immediate risk </w:t>
      </w:r>
      <w:r>
        <w:rPr>
          <w:spacing w:val="-4"/>
          <w:sz w:val="20"/>
        </w:rPr>
        <w:t>of </w:t>
      </w:r>
      <w:r>
        <w:rPr>
          <w:sz w:val="20"/>
        </w:rPr>
        <w:t>injury is perceived. It is also the employee’s responsibility to advise their employees leader/</w:t>
      </w:r>
      <w:r>
        <w:rPr>
          <w:spacing w:val="-21"/>
          <w:sz w:val="20"/>
        </w:rPr>
        <w:t> </w:t>
      </w:r>
      <w:r>
        <w:rPr>
          <w:sz w:val="20"/>
        </w:rPr>
        <w:t>manager.</w:t>
      </w:r>
    </w:p>
    <w:p>
      <w:pPr>
        <w:pStyle w:val="ListParagraph"/>
        <w:numPr>
          <w:ilvl w:val="0"/>
          <w:numId w:val="1"/>
        </w:numPr>
        <w:tabs>
          <w:tab w:pos="828" w:val="left" w:leader="none"/>
        </w:tabs>
        <w:spacing w:line="312" w:lineRule="auto" w:before="117" w:after="0"/>
        <w:ind w:left="827" w:right="162" w:hanging="360"/>
        <w:jc w:val="left"/>
        <w:rPr>
          <w:sz w:val="20"/>
        </w:rPr>
      </w:pPr>
      <w:r>
        <w:rPr>
          <w:sz w:val="20"/>
        </w:rPr>
        <w:t>If the issue cannot be resolved immediately, the matter is to be referred to the WHS Officer </w:t>
      </w:r>
      <w:r>
        <w:rPr>
          <w:spacing w:val="-3"/>
          <w:sz w:val="20"/>
        </w:rPr>
        <w:t>who </w:t>
      </w:r>
      <w:r>
        <w:rPr>
          <w:sz w:val="20"/>
        </w:rPr>
        <w:t>is to take immediate steps to consult, investigate and resolve, or rectify the matter. Results of </w:t>
      </w:r>
      <w:r>
        <w:rPr>
          <w:spacing w:val="-2"/>
          <w:sz w:val="20"/>
        </w:rPr>
        <w:t>any </w:t>
      </w:r>
      <w:r>
        <w:rPr>
          <w:sz w:val="20"/>
        </w:rPr>
        <w:t>resolution at this stage are to be notified to the </w:t>
      </w:r>
      <w:r>
        <w:rPr>
          <w:spacing w:val="-3"/>
          <w:sz w:val="20"/>
        </w:rPr>
        <w:t>employee(s) </w:t>
      </w:r>
      <w:r>
        <w:rPr>
          <w:sz w:val="20"/>
        </w:rPr>
        <w:t>concerned and documented appropriately.</w:t>
      </w:r>
    </w:p>
    <w:p>
      <w:pPr>
        <w:pStyle w:val="ListParagraph"/>
        <w:numPr>
          <w:ilvl w:val="0"/>
          <w:numId w:val="1"/>
        </w:numPr>
        <w:tabs>
          <w:tab w:pos="828" w:val="left" w:leader="none"/>
        </w:tabs>
        <w:spacing w:line="309" w:lineRule="auto" w:before="124" w:after="0"/>
        <w:ind w:left="827" w:right="128" w:hanging="360"/>
        <w:jc w:val="left"/>
        <w:rPr>
          <w:sz w:val="20"/>
        </w:rPr>
      </w:pPr>
      <w:r>
        <w:rPr>
          <w:sz w:val="20"/>
        </w:rPr>
        <w:t>If the worker is dissatisfied with the WHS Officer’s </w:t>
      </w:r>
      <w:r>
        <w:rPr>
          <w:spacing w:val="-3"/>
          <w:sz w:val="20"/>
        </w:rPr>
        <w:t>response, </w:t>
      </w:r>
      <w:r>
        <w:rPr>
          <w:sz w:val="20"/>
        </w:rPr>
        <w:t>then the issue should be raised with the DataTrust managers and/or health and safety representative/committee. The WHS officer should at this stage notify the relevant employees leader </w:t>
      </w:r>
      <w:r>
        <w:rPr>
          <w:spacing w:val="-4"/>
          <w:sz w:val="20"/>
        </w:rPr>
        <w:t>of </w:t>
      </w:r>
      <w:r>
        <w:rPr>
          <w:sz w:val="20"/>
        </w:rPr>
        <w:t>the issue and inability to</w:t>
      </w:r>
      <w:r>
        <w:rPr>
          <w:spacing w:val="-10"/>
          <w:sz w:val="20"/>
        </w:rPr>
        <w:t> </w:t>
      </w:r>
      <w:r>
        <w:rPr>
          <w:sz w:val="20"/>
        </w:rPr>
        <w:t>resolve.</w:t>
      </w:r>
    </w:p>
    <w:p>
      <w:pPr>
        <w:pStyle w:val="ListParagraph"/>
        <w:numPr>
          <w:ilvl w:val="0"/>
          <w:numId w:val="1"/>
        </w:numPr>
        <w:tabs>
          <w:tab w:pos="828" w:val="left" w:leader="none"/>
        </w:tabs>
        <w:spacing w:line="312" w:lineRule="auto" w:before="123" w:after="0"/>
        <w:ind w:left="827" w:right="327" w:hanging="360"/>
        <w:jc w:val="left"/>
        <w:rPr>
          <w:sz w:val="20"/>
        </w:rPr>
      </w:pPr>
      <w:r>
        <w:rPr>
          <w:sz w:val="20"/>
        </w:rPr>
        <w:t>Where the issue has not been resolved satisfactorily by the WHS officer, the employee’s manager, or the health and safety committee meeting, the issue must be raised with the DataTrust </w:t>
      </w:r>
      <w:r>
        <w:rPr>
          <w:spacing w:val="-3"/>
          <w:sz w:val="20"/>
        </w:rPr>
        <w:t>CIO </w:t>
      </w:r>
      <w:r>
        <w:rPr>
          <w:sz w:val="20"/>
        </w:rPr>
        <w:t>(or delegate) for consideration and authorisation (e.g. expenditure </w:t>
      </w:r>
      <w:r>
        <w:rPr>
          <w:spacing w:val="-4"/>
          <w:sz w:val="20"/>
        </w:rPr>
        <w:t>of </w:t>
      </w:r>
      <w:r>
        <w:rPr>
          <w:sz w:val="20"/>
        </w:rPr>
        <w:t>funds to modify machines to cut noise</w:t>
      </w:r>
      <w:r>
        <w:rPr>
          <w:spacing w:val="-1"/>
          <w:sz w:val="20"/>
        </w:rPr>
        <w:t> </w:t>
      </w:r>
      <w:r>
        <w:rPr>
          <w:sz w:val="20"/>
        </w:rPr>
        <w:t>levels).</w:t>
      </w:r>
    </w:p>
    <w:p>
      <w:pPr>
        <w:pStyle w:val="ListParagraph"/>
        <w:numPr>
          <w:ilvl w:val="0"/>
          <w:numId w:val="1"/>
        </w:numPr>
        <w:tabs>
          <w:tab w:pos="828" w:val="left" w:leader="none"/>
        </w:tabs>
        <w:spacing w:line="240" w:lineRule="auto" w:before="124" w:after="0"/>
        <w:ind w:left="827" w:right="0" w:hanging="360"/>
        <w:jc w:val="left"/>
        <w:rPr>
          <w:sz w:val="20"/>
        </w:rPr>
      </w:pPr>
      <w:r>
        <w:rPr>
          <w:sz w:val="20"/>
        </w:rPr>
        <w:t>A WorkCover inspector may be requested to provide</w:t>
      </w:r>
      <w:r>
        <w:rPr>
          <w:spacing w:val="-17"/>
          <w:sz w:val="20"/>
        </w:rPr>
        <w:t> </w:t>
      </w:r>
      <w:r>
        <w:rPr>
          <w:sz w:val="20"/>
        </w:rPr>
        <w:t>advice.</w:t>
      </w:r>
    </w:p>
    <w:p>
      <w:pPr>
        <w:pStyle w:val="ListParagraph"/>
        <w:numPr>
          <w:ilvl w:val="0"/>
          <w:numId w:val="1"/>
        </w:numPr>
        <w:tabs>
          <w:tab w:pos="828" w:val="left" w:leader="none"/>
        </w:tabs>
        <w:spacing w:line="240" w:lineRule="auto" w:before="188" w:after="0"/>
        <w:ind w:left="827" w:right="0" w:hanging="360"/>
        <w:jc w:val="left"/>
        <w:rPr>
          <w:sz w:val="20"/>
        </w:rPr>
      </w:pPr>
      <w:r>
        <w:rPr>
          <w:sz w:val="20"/>
        </w:rPr>
        <w:t>Employee/s to be advised </w:t>
      </w:r>
      <w:r>
        <w:rPr>
          <w:spacing w:val="-4"/>
          <w:sz w:val="20"/>
        </w:rPr>
        <w:t>of </w:t>
      </w:r>
      <w:r>
        <w:rPr>
          <w:sz w:val="20"/>
        </w:rPr>
        <w:t>outcome in</w:t>
      </w:r>
      <w:r>
        <w:rPr>
          <w:spacing w:val="-6"/>
          <w:sz w:val="20"/>
        </w:rPr>
        <w:t> </w:t>
      </w:r>
      <w:r>
        <w:rPr>
          <w:sz w:val="20"/>
        </w:rPr>
        <w:t>writing.</w:t>
      </w:r>
    </w:p>
    <w:p>
      <w:pPr>
        <w:pStyle w:val="BodyText"/>
        <w:rPr>
          <w:sz w:val="22"/>
        </w:rPr>
      </w:pPr>
    </w:p>
    <w:p>
      <w:pPr>
        <w:pStyle w:val="Heading2"/>
      </w:pPr>
      <w:bookmarkStart w:name="What if the issue is not resolved?" w:id="9"/>
      <w:bookmarkEnd w:id="9"/>
      <w:r>
        <w:rPr>
          <w:b w:val="0"/>
        </w:rPr>
      </w:r>
      <w:r>
        <w:rPr>
          <w:color w:val="808898"/>
        </w:rPr>
        <w:t>What if the issue is not resolved?</w:t>
      </w:r>
    </w:p>
    <w:p>
      <w:pPr>
        <w:pStyle w:val="BodyText"/>
        <w:spacing w:line="309" w:lineRule="auto" w:before="254"/>
        <w:ind w:left="112" w:right="310"/>
      </w:pPr>
      <w:r>
        <w:rPr/>
        <w:t>If reasonable efforts have been made to resolve an issue and it remains unresolved, any party to the issue can ask the regulator to appoint an inspector to assist at the workplace. There does not have to be agreement about whether reasonable efforts have been made to resolve the issue in order for an inspector to be requested. As long as one party considers that reasonable efforts have been made, an inspector can be requested.</w:t>
      </w:r>
    </w:p>
    <w:p>
      <w:pPr>
        <w:pStyle w:val="BodyText"/>
        <w:spacing w:before="3"/>
        <w:rPr>
          <w:sz w:val="18"/>
        </w:rPr>
      </w:pPr>
    </w:p>
    <w:p>
      <w:pPr>
        <w:pStyle w:val="BodyText"/>
        <w:spacing w:line="307" w:lineRule="auto"/>
        <w:ind w:left="112" w:right="411"/>
      </w:pPr>
      <w:r>
        <w:rPr/>
        <w:t>The inspector’s role is to assist in resolving the issue. An inspector could exercise any of their compliance powers under the </w:t>
      </w:r>
      <w:r>
        <w:rPr>
          <w:i/>
        </w:rPr>
        <w:t>WHS Act</w:t>
      </w:r>
      <w:r>
        <w:rPr/>
        <w:t>, including providing advice, investigating contraventions or issuing an improvement notice.</w:t>
      </w:r>
    </w:p>
    <w:p>
      <w:pPr>
        <w:pStyle w:val="BodyText"/>
        <w:spacing w:before="4"/>
        <w:rPr>
          <w:sz w:val="18"/>
        </w:rPr>
      </w:pPr>
    </w:p>
    <w:p>
      <w:pPr>
        <w:pStyle w:val="BodyText"/>
        <w:spacing w:line="309" w:lineRule="auto" w:before="1"/>
        <w:ind w:left="112" w:right="256"/>
      </w:pPr>
      <w:r>
        <w:rPr/>
        <w:t>At any time during the process or if a request to the regulator is made, a worker is still entitled to exercise their right to cease work, or a HSR can issue a provisional improvement notice (PIN) or a direction to cease work.</w:t>
      </w:r>
    </w:p>
    <w:p>
      <w:pPr>
        <w:pStyle w:val="BodyText"/>
      </w:pPr>
    </w:p>
    <w:p>
      <w:pPr>
        <w:pStyle w:val="BodyText"/>
      </w:pPr>
    </w:p>
    <w:p>
      <w:pPr>
        <w:pStyle w:val="BodyText"/>
        <w:spacing w:before="1"/>
        <w:rPr>
          <w:sz w:val="21"/>
        </w:rPr>
      </w:pPr>
    </w:p>
    <w:p>
      <w:pPr>
        <w:tabs>
          <w:tab w:pos="9506" w:val="left" w:leader="none"/>
        </w:tabs>
        <w:spacing w:before="0"/>
        <w:ind w:left="885" w:right="0" w:firstLine="0"/>
        <w:jc w:val="left"/>
        <w:rPr>
          <w:b/>
          <w:sz w:val="16"/>
        </w:rPr>
      </w:pPr>
      <w:r>
        <w:rPr>
          <w:color w:val="808898"/>
          <w:spacing w:val="3"/>
          <w:sz w:val="16"/>
        </w:rPr>
        <w:t>DataTrust: </w:t>
      </w:r>
      <w:r>
        <w:rPr>
          <w:color w:val="808898"/>
          <w:spacing w:val="6"/>
          <w:sz w:val="16"/>
        </w:rPr>
        <w:t>WHS </w:t>
      </w:r>
      <w:r>
        <w:rPr>
          <w:color w:val="808898"/>
          <w:spacing w:val="5"/>
          <w:sz w:val="16"/>
        </w:rPr>
        <w:t>Issue</w:t>
      </w:r>
      <w:r>
        <w:rPr>
          <w:color w:val="808898"/>
          <w:spacing w:val="15"/>
          <w:sz w:val="16"/>
        </w:rPr>
        <w:t> </w:t>
      </w:r>
      <w:r>
        <w:rPr>
          <w:color w:val="808898"/>
          <w:spacing w:val="3"/>
          <w:sz w:val="16"/>
        </w:rPr>
        <w:t>Resolution</w:t>
      </w:r>
      <w:r>
        <w:rPr>
          <w:color w:val="808898"/>
          <w:spacing w:val="17"/>
          <w:sz w:val="16"/>
        </w:rPr>
        <w:t> </w:t>
      </w:r>
      <w:r>
        <w:rPr>
          <w:color w:val="808898"/>
          <w:spacing w:val="5"/>
          <w:sz w:val="16"/>
        </w:rPr>
        <w:t>Procedure</w:t>
        <w:tab/>
      </w:r>
      <w:r>
        <w:rPr>
          <w:color w:val="00BAF1"/>
          <w:sz w:val="16"/>
        </w:rPr>
        <w:t>//</w:t>
      </w:r>
      <w:r>
        <w:rPr>
          <w:color w:val="00BAF1"/>
          <w:spacing w:val="11"/>
          <w:sz w:val="16"/>
        </w:rPr>
        <w:t> </w:t>
      </w:r>
      <w:r>
        <w:rPr>
          <w:b/>
          <w:color w:val="00BAF1"/>
          <w:sz w:val="16"/>
        </w:rPr>
        <w:t>2</w:t>
      </w:r>
    </w:p>
    <w:p>
      <w:pPr>
        <w:spacing w:before="3"/>
        <w:ind w:left="885" w:right="0" w:firstLine="0"/>
        <w:jc w:val="left"/>
        <w:rPr>
          <w:sz w:val="16"/>
        </w:rPr>
      </w:pPr>
      <w:r>
        <w:rPr>
          <w:color w:val="808898"/>
          <w:sz w:val="16"/>
        </w:rPr>
        <w:t>Created: 3/04/2009 | Updated: 6/04/2018</w:t>
      </w:r>
    </w:p>
    <w:sectPr>
      <w:pgSz w:w="11910" w:h="16840"/>
      <w:pgMar w:top="94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832" w:hanging="360"/>
        <w:jc w:val="left"/>
      </w:pPr>
      <w:rPr>
        <w:rFonts w:hint="default" w:ascii="Arial" w:hAnsi="Arial" w:eastAsia="Arial" w:cs="Arial"/>
        <w:spacing w:val="-2"/>
        <w:w w:val="100"/>
        <w:sz w:val="20"/>
        <w:szCs w:val="20"/>
        <w:lang w:val="en-au" w:eastAsia="en-au" w:bidi="en-au"/>
      </w:rPr>
    </w:lvl>
    <w:lvl w:ilvl="1">
      <w:start w:val="0"/>
      <w:numFmt w:val="bullet"/>
      <w:lvlText w:val="•"/>
      <w:lvlJc w:val="left"/>
      <w:pPr>
        <w:ind w:left="1742" w:hanging="360"/>
      </w:pPr>
      <w:rPr>
        <w:rFonts w:hint="default"/>
        <w:lang w:val="en-au" w:eastAsia="en-au" w:bidi="en-au"/>
      </w:rPr>
    </w:lvl>
    <w:lvl w:ilvl="2">
      <w:start w:val="0"/>
      <w:numFmt w:val="bullet"/>
      <w:lvlText w:val="•"/>
      <w:lvlJc w:val="left"/>
      <w:pPr>
        <w:ind w:left="2644" w:hanging="360"/>
      </w:pPr>
      <w:rPr>
        <w:rFonts w:hint="default"/>
        <w:lang w:val="en-au" w:eastAsia="en-au" w:bidi="en-au"/>
      </w:rPr>
    </w:lvl>
    <w:lvl w:ilvl="3">
      <w:start w:val="0"/>
      <w:numFmt w:val="bullet"/>
      <w:lvlText w:val="•"/>
      <w:lvlJc w:val="left"/>
      <w:pPr>
        <w:ind w:left="3547" w:hanging="360"/>
      </w:pPr>
      <w:rPr>
        <w:rFonts w:hint="default"/>
        <w:lang w:val="en-au" w:eastAsia="en-au" w:bidi="en-au"/>
      </w:rPr>
    </w:lvl>
    <w:lvl w:ilvl="4">
      <w:start w:val="0"/>
      <w:numFmt w:val="bullet"/>
      <w:lvlText w:val="•"/>
      <w:lvlJc w:val="left"/>
      <w:pPr>
        <w:ind w:left="4449" w:hanging="360"/>
      </w:pPr>
      <w:rPr>
        <w:rFonts w:hint="default"/>
        <w:lang w:val="en-au" w:eastAsia="en-au" w:bidi="en-au"/>
      </w:rPr>
    </w:lvl>
    <w:lvl w:ilvl="5">
      <w:start w:val="0"/>
      <w:numFmt w:val="bullet"/>
      <w:lvlText w:val="•"/>
      <w:lvlJc w:val="left"/>
      <w:pPr>
        <w:ind w:left="5352" w:hanging="360"/>
      </w:pPr>
      <w:rPr>
        <w:rFonts w:hint="default"/>
        <w:lang w:val="en-au" w:eastAsia="en-au" w:bidi="en-au"/>
      </w:rPr>
    </w:lvl>
    <w:lvl w:ilvl="6">
      <w:start w:val="0"/>
      <w:numFmt w:val="bullet"/>
      <w:lvlText w:val="•"/>
      <w:lvlJc w:val="left"/>
      <w:pPr>
        <w:ind w:left="6254" w:hanging="360"/>
      </w:pPr>
      <w:rPr>
        <w:rFonts w:hint="default"/>
        <w:lang w:val="en-au" w:eastAsia="en-au" w:bidi="en-au"/>
      </w:rPr>
    </w:lvl>
    <w:lvl w:ilvl="7">
      <w:start w:val="0"/>
      <w:numFmt w:val="bullet"/>
      <w:lvlText w:val="•"/>
      <w:lvlJc w:val="left"/>
      <w:pPr>
        <w:ind w:left="7156" w:hanging="360"/>
      </w:pPr>
      <w:rPr>
        <w:rFonts w:hint="default"/>
        <w:lang w:val="en-au" w:eastAsia="en-au" w:bidi="en-au"/>
      </w:rPr>
    </w:lvl>
    <w:lvl w:ilvl="8">
      <w:start w:val="0"/>
      <w:numFmt w:val="bullet"/>
      <w:lvlText w:val="•"/>
      <w:lvlJc w:val="left"/>
      <w:pPr>
        <w:ind w:left="8059" w:hanging="360"/>
      </w:pPr>
      <w:rPr>
        <w:rFonts w:hint="default"/>
        <w:lang w:val="en-au" w:eastAsia="en-au" w:bidi="en-a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Heading1" w:type="paragraph">
    <w:name w:val="Heading 1"/>
    <w:basedOn w:val="Normal"/>
    <w:uiPriority w:val="1"/>
    <w:qFormat/>
    <w:pPr>
      <w:spacing w:before="58"/>
      <w:ind w:left="112"/>
      <w:outlineLvl w:val="1"/>
    </w:pPr>
    <w:rPr>
      <w:rFonts w:ascii="Arial" w:hAnsi="Arial" w:eastAsia="Arial" w:cs="Arial"/>
      <w:sz w:val="40"/>
      <w:szCs w:val="40"/>
      <w:lang w:val="en-au" w:eastAsia="en-au" w:bidi="en-au"/>
    </w:rPr>
  </w:style>
  <w:style w:styleId="Heading2" w:type="paragraph">
    <w:name w:val="Heading 2"/>
    <w:basedOn w:val="Normal"/>
    <w:uiPriority w:val="1"/>
    <w:qFormat/>
    <w:pPr>
      <w:spacing w:before="163"/>
      <w:ind w:left="112"/>
      <w:outlineLvl w:val="2"/>
    </w:pPr>
    <w:rPr>
      <w:rFonts w:ascii="Arial" w:hAnsi="Arial" w:eastAsia="Arial" w:cs="Arial"/>
      <w:b/>
      <w:bCs/>
      <w:sz w:val="32"/>
      <w:szCs w:val="32"/>
      <w:lang w:val="en-au" w:eastAsia="en-au" w:bidi="en-au"/>
    </w:rPr>
  </w:style>
  <w:style w:styleId="Heading3" w:type="paragraph">
    <w:name w:val="Heading 3"/>
    <w:basedOn w:val="Normal"/>
    <w:uiPriority w:val="1"/>
    <w:qFormat/>
    <w:pPr>
      <w:ind w:left="112"/>
      <w:outlineLvl w:val="3"/>
    </w:pPr>
    <w:rPr>
      <w:rFonts w:ascii="Arial" w:hAnsi="Arial" w:eastAsia="Arial" w:cs="Arial"/>
      <w:b/>
      <w:bCs/>
      <w:sz w:val="24"/>
      <w:szCs w:val="24"/>
      <w:lang w:val="en-au" w:eastAsia="en-au" w:bidi="en-au"/>
    </w:rPr>
  </w:style>
  <w:style w:styleId="ListParagraph" w:type="paragraph">
    <w:name w:val="List Paragraph"/>
    <w:basedOn w:val="Normal"/>
    <w:uiPriority w:val="1"/>
    <w:qFormat/>
    <w:pPr>
      <w:spacing w:before="124"/>
      <w:ind w:left="827" w:hanging="360"/>
    </w:pPr>
    <w:rPr>
      <w:rFonts w:ascii="Arial" w:hAnsi="Arial" w:eastAsia="Arial" w:cs="Arial"/>
      <w:lang w:val="en-au" w:eastAsia="en-au" w:bidi="en-au"/>
    </w:rPr>
  </w:style>
  <w:style w:styleId="TableParagraph" w:type="paragraph">
    <w:name w:val="Table Paragraph"/>
    <w:basedOn w:val="Normal"/>
    <w:uiPriority w:val="1"/>
    <w:qFormat/>
    <w:pPr/>
    <w:rPr>
      <w:lang w:val="en-au" w:eastAsia="en-au" w:bidi="en-au"/>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s://sites.google.com/classroom.nctafe.edu.au/datatrust/intranet"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CE4F7B357EB469B32CF6CE7167475" ma:contentTypeVersion="11" ma:contentTypeDescription="Create a new document." ma:contentTypeScope="" ma:versionID="d8868b806bdc30bb258135c7e492bc7e">
  <xsd:schema xmlns:xsd="http://www.w3.org/2001/XMLSchema" xmlns:xs="http://www.w3.org/2001/XMLSchema" xmlns:p="http://schemas.microsoft.com/office/2006/metadata/properties" xmlns:ns2="b798198a-4fbf-42be-8530-1d0c80d0fe61" xmlns:ns3="389f41fd-c1fd-42a7-9d73-f4e35625c411" targetNamespace="http://schemas.microsoft.com/office/2006/metadata/properties" ma:root="true" ma:fieldsID="d8f6c9a8cfc0f1307db5158e690c8d81" ns2:_="" ns3:_="">
    <xsd:import namespace="b798198a-4fbf-42be-8530-1d0c80d0fe61"/>
    <xsd:import namespace="389f41fd-c1fd-42a7-9d73-f4e35625c41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EventHashCode" minOccurs="0"/>
                <xsd:element ref="ns2:MediaServiceGenerationTim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98198a-4fbf-42be-8530-1d0c80d0fe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f41fd-c1fd-42a7-9d73-f4e35625c41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C5811D-8832-4542-85B2-87A479733BB8}"/>
</file>

<file path=customXml/itemProps2.xml><?xml version="1.0" encoding="utf-8"?>
<ds:datastoreItem xmlns:ds="http://schemas.openxmlformats.org/officeDocument/2006/customXml" ds:itemID="{273E5297-E5CD-4180-B914-DFC48BE92A31}"/>
</file>

<file path=customXml/itemProps3.xml><?xml version="1.0" encoding="utf-8"?>
<ds:datastoreItem xmlns:ds="http://schemas.openxmlformats.org/officeDocument/2006/customXml" ds:itemID="{7036652F-AEE5-493E-9DF6-F0415E6A0AC2}"/>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WHS Issue Resolution Procedure</dc:title>
  <dc:creator>Muir, Kelly</dc:creator>
  <dcterms:created xsi:type="dcterms:W3CDTF">2020-01-30T23:35:24Z</dcterms:created>
  <dcterms:modified xsi:type="dcterms:W3CDTF">2020-01-30T23:35:24Z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2018-04-06T00:00:00Z</vt:filetime>
  </property>
  <property fmtid="{D5CDD505-2E9C-101B-9397-08002B2CF9AE}" pid="3" name="Creator">
    <vt:lpwstr>Acrobat PDFMaker 15 for Word</vt:lpwstr>
  </property>
  <property fmtid="{D5CDD505-2E9C-101B-9397-08002B2CF9AE}" pid="4" name="LastSaved">
    <vt:filetime>2020-01-30T00:00:00Z</vt:filetime>
  </property>
  <property fmtid="{D5CDD505-2E9C-101B-9397-08002B2CF9AE}" pid="5" name="ContentTypeId">
    <vt:lpwstr>0x010100221CE4F7B357EB469B32CF6CE7167475</vt:lpwstr>
  </property>
</Properties>
</file>